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2AD2" w14:textId="4355C461" w:rsidR="00005900" w:rsidRDefault="00005900">
      <w:r>
        <w:t xml:space="preserve">I noticed many of us chose to respond on if the opposing view is represented fairly. I chose that criteria because I felt the author was passionate and gave a good argument for why the process for citizenship should be changed. An opposition paragraph was </w:t>
      </w:r>
      <w:r>
        <w:t>informative,</w:t>
      </w:r>
      <w:r>
        <w:t xml:space="preserve"> but it didn't seem in competition with Resnick's </w:t>
      </w:r>
      <w:r>
        <w:t>viewpoint</w:t>
      </w:r>
      <w:r>
        <w:t>. In fact, I feel it further supported his idea by allowing readers to decide for themselves when presented with examples both for and against deportation of undocumented immigrants.</w:t>
      </w:r>
    </w:p>
    <w:sectPr w:rsidR="00005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00"/>
    <w:rsid w:val="00005900"/>
    <w:rsid w:val="00D9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ED57"/>
  <w15:chartTrackingRefBased/>
  <w15:docId w15:val="{42FED8E8-3739-4A26-996F-F3129508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9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9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9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9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9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1</cp:revision>
  <dcterms:created xsi:type="dcterms:W3CDTF">2024-02-10T20:15:00Z</dcterms:created>
  <dcterms:modified xsi:type="dcterms:W3CDTF">2024-02-11T01:15:00Z</dcterms:modified>
</cp:coreProperties>
</file>